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126B" w14:textId="77777777" w:rsidR="00C061A8" w:rsidRDefault="00C061A8">
      <w:pPr>
        <w:rPr>
          <w:lang w:val="nl-NL"/>
        </w:rPr>
      </w:pPr>
    </w:p>
    <w:p w14:paraId="1496DF94" w14:textId="5FC8912B" w:rsidR="00C061A8" w:rsidRDefault="00C061A8">
      <w:pPr>
        <w:rPr>
          <w:lang w:val="nl-NL"/>
        </w:rPr>
      </w:pPr>
      <w:r w:rsidRPr="00C061A8">
        <w:rPr>
          <w:noProof/>
          <w:lang w:val="nl-NL"/>
        </w:rPr>
        <w:drawing>
          <wp:inline distT="0" distB="0" distL="0" distR="0" wp14:anchorId="2C7614EF" wp14:editId="7708F2B1">
            <wp:extent cx="6645910" cy="914400"/>
            <wp:effectExtent l="0" t="0" r="2540" b="0"/>
            <wp:docPr id="105511881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188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F69ED" w14:textId="09E440CE" w:rsidR="000957E4" w:rsidRPr="00C061A8" w:rsidRDefault="0014065B" w:rsidP="00C061A8">
      <w:pPr>
        <w:jc w:val="center"/>
        <w:rPr>
          <w:b/>
          <w:bCs/>
          <w:lang w:val="nl-NL"/>
        </w:rPr>
      </w:pPr>
      <w:r w:rsidRPr="00C061A8">
        <w:rPr>
          <w:b/>
          <w:bCs/>
          <w:lang w:val="nl-NL"/>
        </w:rPr>
        <w:t>C</w:t>
      </w:r>
      <w:r w:rsidR="000A7458" w:rsidRPr="00C061A8">
        <w:rPr>
          <w:b/>
          <w:bCs/>
          <w:lang w:val="nl-NL"/>
        </w:rPr>
        <w:t>oncordanties cluster elektr</w:t>
      </w:r>
      <w:r w:rsidR="006F6EF0" w:rsidRPr="00C061A8">
        <w:rPr>
          <w:b/>
          <w:bCs/>
          <w:lang w:val="nl-NL"/>
        </w:rPr>
        <w:t xml:space="preserve">o – </w:t>
      </w:r>
      <w:proofErr w:type="spellStart"/>
      <w:r w:rsidR="006F6EF0" w:rsidRPr="00C061A8">
        <w:rPr>
          <w:b/>
          <w:bCs/>
          <w:lang w:val="nl-NL"/>
        </w:rPr>
        <w:t>centrumoverstijgende</w:t>
      </w:r>
      <w:proofErr w:type="spellEnd"/>
      <w:r w:rsidR="006F6EF0" w:rsidRPr="00C061A8">
        <w:rPr>
          <w:b/>
          <w:bCs/>
          <w:lang w:val="nl-NL"/>
        </w:rPr>
        <w:t xml:space="preserve"> afspraken d.d. 27 april 2026</w:t>
      </w:r>
    </w:p>
    <w:p w14:paraId="2108E413" w14:textId="490B1CA5" w:rsidR="000A7458" w:rsidRDefault="000A7458">
      <w:pPr>
        <w:rPr>
          <w:lang w:val="nl-NL"/>
        </w:rPr>
      </w:pPr>
      <w:r>
        <w:rPr>
          <w:lang w:val="nl-NL"/>
        </w:rPr>
        <w:t>Betreft</w:t>
      </w:r>
      <w:r w:rsidR="002A7A26">
        <w:rPr>
          <w:lang w:val="nl-NL"/>
        </w:rPr>
        <w:t xml:space="preserve"> volgende </w:t>
      </w:r>
      <w:r>
        <w:rPr>
          <w:lang w:val="nl-NL"/>
        </w:rPr>
        <w:t>de opleidingen</w:t>
      </w:r>
      <w:r w:rsidR="002A7A26">
        <w:rPr>
          <w:lang w:val="nl-NL"/>
        </w:rPr>
        <w:t>:</w:t>
      </w:r>
    </w:p>
    <w:p w14:paraId="7376D126" w14:textId="7EE7832A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Elektrotechnisch monteur (EMO)</w:t>
      </w:r>
    </w:p>
    <w:p w14:paraId="17BA5D7B" w14:textId="73578A2F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Elektrotechnisch installateur (ETI)</w:t>
      </w:r>
    </w:p>
    <w:p w14:paraId="11DB2BC1" w14:textId="456B65E1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Elektrotechnicus (ET)</w:t>
      </w:r>
    </w:p>
    <w:p w14:paraId="0AD8B50B" w14:textId="7FF29E4F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Beveiligingstechnicus (BT)</w:t>
      </w:r>
    </w:p>
    <w:p w14:paraId="3165B254" w14:textId="77777777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Technicus industriële installaties (TII)</w:t>
      </w:r>
    </w:p>
    <w:p w14:paraId="17FDC89A" w14:textId="4FB94351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Installateur gebouwenautomatisering (IGE)</w:t>
      </w:r>
    </w:p>
    <w:p w14:paraId="062994EB" w14:textId="3D97AE8C" w:rsidR="000A7458" w:rsidRDefault="000A7458" w:rsidP="002A7A26">
      <w:pPr>
        <w:ind w:left="708"/>
        <w:rPr>
          <w:sz w:val="20"/>
          <w:szCs w:val="20"/>
        </w:rPr>
      </w:pPr>
      <w:r>
        <w:rPr>
          <w:sz w:val="20"/>
          <w:szCs w:val="20"/>
        </w:rPr>
        <w:t>Installateur energiemanagementsystemen (IEM)</w:t>
      </w:r>
    </w:p>
    <w:tbl>
      <w:tblPr>
        <w:tblStyle w:val="Tabelraster"/>
        <w:tblW w:w="10768" w:type="dxa"/>
        <w:tblLook w:val="04A0" w:firstRow="1" w:lastRow="0" w:firstColumn="1" w:lastColumn="0" w:noHBand="0" w:noVBand="1"/>
      </w:tblPr>
      <w:tblGrid>
        <w:gridCol w:w="4247"/>
        <w:gridCol w:w="1172"/>
        <w:gridCol w:w="3790"/>
        <w:gridCol w:w="1559"/>
      </w:tblGrid>
      <w:tr w:rsidR="00757B8F" w:rsidRPr="002E37EB" w14:paraId="4D9E4606" w14:textId="27B19BC1" w:rsidTr="00287B1E">
        <w:tc>
          <w:tcPr>
            <w:tcW w:w="4247" w:type="dxa"/>
          </w:tcPr>
          <w:p w14:paraId="08AE881B" w14:textId="2E6F8A59" w:rsidR="00757B8F" w:rsidRPr="002E37EB" w:rsidRDefault="00757B8F" w:rsidP="00F9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 het deelcertificaat heeft behaald van de ‘oude’ module(s) (</w:t>
            </w:r>
            <w:proofErr w:type="spellStart"/>
            <w:r>
              <w:rPr>
                <w:sz w:val="20"/>
                <w:szCs w:val="20"/>
              </w:rPr>
              <w:t>OP’s</w:t>
            </w:r>
            <w:proofErr w:type="spellEnd"/>
            <w:r>
              <w:rPr>
                <w:sz w:val="20"/>
                <w:szCs w:val="20"/>
              </w:rPr>
              <w:t xml:space="preserve"> van vóór 2026)</w:t>
            </w:r>
          </w:p>
        </w:tc>
        <w:tc>
          <w:tcPr>
            <w:tcW w:w="1172" w:type="dxa"/>
          </w:tcPr>
          <w:p w14:paraId="2AA81A79" w14:textId="3B6B4D13" w:rsidR="00757B8F" w:rsidRPr="00536E5C" w:rsidRDefault="00757B8F" w:rsidP="00536E5C">
            <w:pPr>
              <w:jc w:val="center"/>
              <w:rPr>
                <w:b/>
                <w:bCs/>
                <w:sz w:val="20"/>
                <w:szCs w:val="20"/>
              </w:rPr>
            </w:pPr>
            <w:r w:rsidRPr="00536E5C">
              <w:rPr>
                <w:b/>
                <w:bCs/>
                <w:sz w:val="20"/>
                <w:szCs w:val="20"/>
              </w:rPr>
              <w:t>Krijgt vrijstelling voor</w:t>
            </w:r>
          </w:p>
        </w:tc>
        <w:tc>
          <w:tcPr>
            <w:tcW w:w="3790" w:type="dxa"/>
          </w:tcPr>
          <w:p w14:paraId="5C4491E8" w14:textId="1691A8AF" w:rsidR="00757B8F" w:rsidRPr="002E37EB" w:rsidRDefault="00757B8F" w:rsidP="00F9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Volgende ‘nieuwe’ modules (</w:t>
            </w:r>
            <w:proofErr w:type="spellStart"/>
            <w:r>
              <w:rPr>
                <w:sz w:val="20"/>
                <w:szCs w:val="20"/>
              </w:rPr>
              <w:t>OP’s</w:t>
            </w:r>
            <w:proofErr w:type="spellEnd"/>
            <w:r>
              <w:rPr>
                <w:sz w:val="20"/>
                <w:szCs w:val="20"/>
              </w:rPr>
              <w:t xml:space="preserve"> 2026)</w:t>
            </w:r>
          </w:p>
        </w:tc>
        <w:tc>
          <w:tcPr>
            <w:tcW w:w="1559" w:type="dxa"/>
          </w:tcPr>
          <w:p w14:paraId="63B10DC2" w14:textId="511B2A2B" w:rsidR="00757B8F" w:rsidRDefault="00757B8F" w:rsidP="00F90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Deze modules komen voor in volgende </w:t>
            </w:r>
            <w:proofErr w:type="spellStart"/>
            <w:r>
              <w:rPr>
                <w:sz w:val="20"/>
                <w:szCs w:val="20"/>
              </w:rPr>
              <w:t>OP’s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757B8F" w:rsidRPr="00011DE5" w14:paraId="338888A1" w14:textId="197F30E7" w:rsidTr="00287B1E">
        <w:tc>
          <w:tcPr>
            <w:tcW w:w="4247" w:type="dxa"/>
          </w:tcPr>
          <w:p w14:paraId="35883FC9" w14:textId="77777777" w:rsidR="00757B8F" w:rsidRPr="006D3F09" w:rsidRDefault="00757B8F" w:rsidP="00FB6387">
            <w:pPr>
              <w:rPr>
                <w:sz w:val="20"/>
                <w:szCs w:val="20"/>
              </w:rPr>
            </w:pPr>
            <w:r w:rsidRPr="006D3F09">
              <w:rPr>
                <w:sz w:val="20"/>
                <w:szCs w:val="20"/>
              </w:rPr>
              <w:t xml:space="preserve">Werken op hoogte met hoogtewerker (20lt) </w:t>
            </w:r>
          </w:p>
          <w:p w14:paraId="69D70E63" w14:textId="40270F71" w:rsidR="00757B8F" w:rsidRPr="006D3F09" w:rsidRDefault="00757B8F" w:rsidP="00FB6387">
            <w:pPr>
              <w:rPr>
                <w:sz w:val="20"/>
                <w:szCs w:val="20"/>
              </w:rPr>
            </w:pPr>
            <w:r w:rsidRPr="006D3F09">
              <w:rPr>
                <w:sz w:val="20"/>
                <w:szCs w:val="20"/>
              </w:rPr>
              <w:t>EN</w:t>
            </w:r>
          </w:p>
          <w:p w14:paraId="2840170F" w14:textId="142BE86F" w:rsidR="00757B8F" w:rsidRPr="006D3F09" w:rsidRDefault="00757B8F" w:rsidP="00FB6387">
            <w:pPr>
              <w:rPr>
                <w:sz w:val="20"/>
                <w:szCs w:val="20"/>
              </w:rPr>
            </w:pPr>
            <w:r w:rsidRPr="006D3F09">
              <w:rPr>
                <w:sz w:val="20"/>
                <w:szCs w:val="20"/>
              </w:rPr>
              <w:t>Werken op hoogte – module 1+2 (20lt)</w:t>
            </w:r>
          </w:p>
        </w:tc>
        <w:tc>
          <w:tcPr>
            <w:tcW w:w="1172" w:type="dxa"/>
          </w:tcPr>
          <w:p w14:paraId="3DC16F0B" w14:textId="77777777" w:rsidR="00757B8F" w:rsidRPr="000A7458" w:rsidRDefault="00757B8F" w:rsidP="00FB638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40CDD59C" w14:textId="26B28638" w:rsidR="00757B8F" w:rsidRPr="000A7458" w:rsidRDefault="00757B8F" w:rsidP="00FB63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Veilig werken op hoogte (20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F83D27A" w14:textId="6370CF78" w:rsidR="00757B8F" w:rsidRDefault="00E820D9" w:rsidP="00FB6387">
            <w:pPr>
              <w:rPr>
                <w:sz w:val="20"/>
                <w:szCs w:val="20"/>
              </w:rPr>
            </w:pPr>
            <w:r w:rsidRPr="00E820D9">
              <w:rPr>
                <w:sz w:val="20"/>
                <w:szCs w:val="20"/>
              </w:rPr>
              <w:t xml:space="preserve">ETI, ET, BT, </w:t>
            </w:r>
            <w:r w:rsidRPr="00E170A7">
              <w:rPr>
                <w:sz w:val="20"/>
                <w:szCs w:val="20"/>
              </w:rPr>
              <w:t>IEM</w:t>
            </w:r>
            <w:r w:rsidRPr="00E820D9">
              <w:rPr>
                <w:sz w:val="20"/>
                <w:szCs w:val="20"/>
              </w:rPr>
              <w:t>, IGE, TII</w:t>
            </w:r>
            <w:r>
              <w:rPr>
                <w:sz w:val="20"/>
                <w:szCs w:val="20"/>
              </w:rPr>
              <w:t xml:space="preserve">, </w:t>
            </w:r>
            <w:r w:rsidRPr="00E820D9">
              <w:rPr>
                <w:sz w:val="20"/>
                <w:szCs w:val="20"/>
              </w:rPr>
              <w:t>EMO</w:t>
            </w:r>
          </w:p>
        </w:tc>
      </w:tr>
      <w:tr w:rsidR="00757B8F" w:rsidRPr="00011DE5" w14:paraId="1CF8F8AA" w14:textId="150D58CE" w:rsidTr="00287B1E">
        <w:tc>
          <w:tcPr>
            <w:tcW w:w="4247" w:type="dxa"/>
          </w:tcPr>
          <w:p w14:paraId="17EE62DB" w14:textId="64C4AC73" w:rsidR="00757B8F" w:rsidRPr="000A7458" w:rsidRDefault="00757B8F" w:rsidP="006D3F09">
            <w:pPr>
              <w:rPr>
                <w:sz w:val="20"/>
                <w:szCs w:val="20"/>
              </w:rPr>
            </w:pPr>
            <w:r w:rsidRPr="006D3F09">
              <w:rPr>
                <w:sz w:val="20"/>
                <w:szCs w:val="20"/>
              </w:rPr>
              <w:t xml:space="preserve">Uittekenen en </w:t>
            </w:r>
            <w:proofErr w:type="spellStart"/>
            <w:r w:rsidRPr="006D3F09">
              <w:rPr>
                <w:sz w:val="20"/>
                <w:szCs w:val="20"/>
              </w:rPr>
              <w:t>parameterisatie</w:t>
            </w:r>
            <w:proofErr w:type="spellEnd"/>
            <w:r w:rsidRPr="006D3F09">
              <w:rPr>
                <w:sz w:val="20"/>
                <w:szCs w:val="20"/>
              </w:rPr>
              <w:t xml:space="preserve"> </w:t>
            </w:r>
            <w:proofErr w:type="spellStart"/>
            <w:r w:rsidRPr="006D3F09">
              <w:rPr>
                <w:sz w:val="20"/>
                <w:szCs w:val="20"/>
              </w:rPr>
              <w:t>domotica</w:t>
            </w:r>
            <w:proofErr w:type="spellEnd"/>
            <w:r>
              <w:rPr>
                <w:sz w:val="20"/>
                <w:szCs w:val="20"/>
              </w:rPr>
              <w:t xml:space="preserve"> (40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2" w:type="dxa"/>
          </w:tcPr>
          <w:p w14:paraId="2F532149" w14:textId="77777777" w:rsidR="00757B8F" w:rsidRPr="000A7458" w:rsidRDefault="00757B8F" w:rsidP="00FB6387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2330AA10" w14:textId="459D4CE9" w:rsidR="00757B8F" w:rsidRPr="000A7458" w:rsidRDefault="00757B8F" w:rsidP="00FB6387">
            <w:pPr>
              <w:rPr>
                <w:sz w:val="20"/>
                <w:szCs w:val="20"/>
              </w:rPr>
            </w:pPr>
            <w:proofErr w:type="spellStart"/>
            <w:r w:rsidRPr="006D3F09">
              <w:rPr>
                <w:sz w:val="20"/>
                <w:szCs w:val="20"/>
              </w:rPr>
              <w:t>Parameterisatie</w:t>
            </w:r>
            <w:proofErr w:type="spellEnd"/>
            <w:r w:rsidRPr="006D3F09">
              <w:rPr>
                <w:sz w:val="20"/>
                <w:szCs w:val="20"/>
              </w:rPr>
              <w:t xml:space="preserve"> </w:t>
            </w:r>
            <w:proofErr w:type="spellStart"/>
            <w:r w:rsidRPr="006D3F09">
              <w:rPr>
                <w:sz w:val="20"/>
                <w:szCs w:val="20"/>
              </w:rPr>
              <w:t>domotica</w:t>
            </w:r>
            <w:proofErr w:type="spellEnd"/>
            <w:r>
              <w:rPr>
                <w:sz w:val="20"/>
                <w:szCs w:val="20"/>
              </w:rPr>
              <w:t xml:space="preserve"> (40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C14A549" w14:textId="717831B5" w:rsidR="00757B8F" w:rsidRPr="006D3F09" w:rsidRDefault="004C01BE" w:rsidP="00FB6387">
            <w:pPr>
              <w:rPr>
                <w:sz w:val="20"/>
                <w:szCs w:val="20"/>
              </w:rPr>
            </w:pPr>
            <w:r w:rsidRPr="002E37EB">
              <w:rPr>
                <w:sz w:val="20"/>
                <w:szCs w:val="20"/>
              </w:rPr>
              <w:t>ETI, ET</w:t>
            </w:r>
          </w:p>
        </w:tc>
      </w:tr>
      <w:tr w:rsidR="00757B8F" w:rsidRPr="00011DE5" w14:paraId="1154B459" w14:textId="71E3383B" w:rsidTr="00287B1E">
        <w:tc>
          <w:tcPr>
            <w:tcW w:w="4247" w:type="dxa"/>
          </w:tcPr>
          <w:p w14:paraId="4BB29311" w14:textId="7FD2150F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Project uitvoering (40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</w:tc>
        <w:tc>
          <w:tcPr>
            <w:tcW w:w="1172" w:type="dxa"/>
          </w:tcPr>
          <w:p w14:paraId="1CC0D197" w14:textId="77777777" w:rsidR="00757B8F" w:rsidRPr="000A7458" w:rsidRDefault="00757B8F" w:rsidP="00CF67E5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2C353C3D" w14:textId="0FC60A72" w:rsidR="00757B8F" w:rsidRPr="000A7458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Project Elektrotechnisch Installateur (40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4F126B9" w14:textId="7C6A0E20" w:rsidR="00757B8F" w:rsidRPr="0061450C" w:rsidRDefault="004C01BE" w:rsidP="00CF6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</w:t>
            </w:r>
          </w:p>
        </w:tc>
      </w:tr>
      <w:tr w:rsidR="00757B8F" w:rsidRPr="00011DE5" w14:paraId="3DA24BD6" w14:textId="0155ECD2" w:rsidTr="00287B1E">
        <w:tc>
          <w:tcPr>
            <w:tcW w:w="4247" w:type="dxa"/>
          </w:tcPr>
          <w:p w14:paraId="2FBFEFA9" w14:textId="77777777" w:rsidR="00757B8F" w:rsidRPr="0061450C" w:rsidRDefault="00757B8F" w:rsidP="00CF67E5">
            <w:pPr>
              <w:rPr>
                <w:sz w:val="20"/>
                <w:szCs w:val="20"/>
              </w:rPr>
            </w:pPr>
            <w:proofErr w:type="gramStart"/>
            <w:r w:rsidRPr="0061450C">
              <w:rPr>
                <w:sz w:val="20"/>
                <w:szCs w:val="20"/>
              </w:rPr>
              <w:t>Basisschakelingen  (</w:t>
            </w:r>
            <w:proofErr w:type="gramEnd"/>
            <w:r w:rsidRPr="0061450C">
              <w:rPr>
                <w:sz w:val="20"/>
                <w:szCs w:val="20"/>
              </w:rPr>
              <w:t xml:space="preserve">80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 xml:space="preserve">) </w:t>
            </w:r>
          </w:p>
          <w:p w14:paraId="54636595" w14:textId="77777777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>EN</w:t>
            </w:r>
          </w:p>
          <w:p w14:paraId="06C17CAB" w14:textId="10B29A88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Aarding, teller, elektrisch bord (60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</w:tc>
        <w:tc>
          <w:tcPr>
            <w:tcW w:w="1172" w:type="dxa"/>
          </w:tcPr>
          <w:p w14:paraId="47D8696A" w14:textId="77777777" w:rsidR="00757B8F" w:rsidRPr="000A7458" w:rsidRDefault="00757B8F" w:rsidP="00CF67E5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3C57F7D9" w14:textId="2F00BCC3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Aansluiten componenten (30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 xml:space="preserve">) </w:t>
            </w:r>
          </w:p>
          <w:p w14:paraId="71AFD442" w14:textId="0D38533A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Basisschakelingen (60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  <w:p w14:paraId="5450DFB0" w14:textId="6C18506F" w:rsidR="00757B8F" w:rsidRPr="000A7458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Aarding teller elektrisch bord (50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586AEA29" w14:textId="3065EAC3" w:rsidR="00757B8F" w:rsidRPr="0061450C" w:rsidRDefault="00844BD3" w:rsidP="00CF67E5">
            <w:pPr>
              <w:rPr>
                <w:sz w:val="20"/>
                <w:szCs w:val="20"/>
              </w:rPr>
            </w:pPr>
            <w:r w:rsidRPr="00844BD3">
              <w:rPr>
                <w:sz w:val="20"/>
                <w:szCs w:val="20"/>
              </w:rPr>
              <w:t>ETI, ET, BT, IEM, IGE, TII</w:t>
            </w:r>
          </w:p>
        </w:tc>
      </w:tr>
      <w:tr w:rsidR="00757B8F" w:rsidRPr="00011DE5" w14:paraId="476FE6EA" w14:textId="3722B521" w:rsidTr="00287B1E">
        <w:tc>
          <w:tcPr>
            <w:tcW w:w="4247" w:type="dxa"/>
          </w:tcPr>
          <w:p w14:paraId="0254433B" w14:textId="77777777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Gevorderde schakelingen (80lt) </w:t>
            </w:r>
          </w:p>
          <w:p w14:paraId="072E7EF3" w14:textId="152A99AB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>EN</w:t>
            </w:r>
          </w:p>
          <w:p w14:paraId="4BF13EBA" w14:textId="515D8FA7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Aarding, teller, elektrisch bord (60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</w:tc>
        <w:tc>
          <w:tcPr>
            <w:tcW w:w="1172" w:type="dxa"/>
          </w:tcPr>
          <w:p w14:paraId="01004AA7" w14:textId="45872049" w:rsidR="00757B8F" w:rsidRPr="0061450C" w:rsidRDefault="00757B8F" w:rsidP="00CF67E5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1261716A" w14:textId="13308B66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Aansluiten componenten (30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  <w:p w14:paraId="3F48B5F1" w14:textId="26CBEB3B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Gevorderde schakelingen (80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  <w:p w14:paraId="033C9D6C" w14:textId="3047B298" w:rsidR="00757B8F" w:rsidRPr="0061450C" w:rsidRDefault="00757B8F" w:rsidP="00CF67E5">
            <w:pPr>
              <w:rPr>
                <w:sz w:val="20"/>
                <w:szCs w:val="20"/>
              </w:rPr>
            </w:pPr>
            <w:r w:rsidRPr="0061450C">
              <w:rPr>
                <w:sz w:val="20"/>
                <w:szCs w:val="20"/>
              </w:rPr>
              <w:t xml:space="preserve">Aarding teller elektrisch bord (60 </w:t>
            </w:r>
            <w:proofErr w:type="spellStart"/>
            <w:r w:rsidRPr="0061450C">
              <w:rPr>
                <w:sz w:val="20"/>
                <w:szCs w:val="20"/>
              </w:rPr>
              <w:t>lt</w:t>
            </w:r>
            <w:proofErr w:type="spellEnd"/>
            <w:r w:rsidRPr="0061450C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98B96CB" w14:textId="7A2101A8" w:rsidR="00757B8F" w:rsidRPr="0061450C" w:rsidRDefault="00290044" w:rsidP="00CF67E5">
            <w:pPr>
              <w:rPr>
                <w:sz w:val="20"/>
                <w:szCs w:val="20"/>
              </w:rPr>
            </w:pPr>
            <w:r w:rsidRPr="002E37EB">
              <w:rPr>
                <w:sz w:val="20"/>
                <w:szCs w:val="20"/>
              </w:rPr>
              <w:t>ETI, ET, IGE</w:t>
            </w:r>
          </w:p>
        </w:tc>
      </w:tr>
      <w:tr w:rsidR="00371DE0" w:rsidRPr="00011DE5" w14:paraId="15A8B3A4" w14:textId="77777777" w:rsidTr="00287B1E">
        <w:tc>
          <w:tcPr>
            <w:tcW w:w="4247" w:type="dxa"/>
          </w:tcPr>
          <w:p w14:paraId="6ACDB476" w14:textId="0A4EA068" w:rsidR="00371DE0" w:rsidRPr="0061450C" w:rsidRDefault="00371DE0" w:rsidP="0037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Aarding, teller, elektrisch bord, diagnose (residentieel en tertiair) (40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2" w:type="dxa"/>
          </w:tcPr>
          <w:p w14:paraId="7091091A" w14:textId="77777777" w:rsidR="00371DE0" w:rsidRPr="0061450C" w:rsidRDefault="00371DE0" w:rsidP="00371DE0">
            <w:pPr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07171C91" w14:textId="71628C85" w:rsidR="00371DE0" w:rsidRPr="0061450C" w:rsidRDefault="00371DE0" w:rsidP="0037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Aarding, teller, elektrisch bord en </w:t>
            </w:r>
            <w:r>
              <w:rPr>
                <w:sz w:val="20"/>
                <w:szCs w:val="20"/>
              </w:rPr>
              <w:t xml:space="preserve">controle </w:t>
            </w:r>
            <w:r>
              <w:rPr>
                <w:sz w:val="20"/>
                <w:szCs w:val="20"/>
              </w:rPr>
              <w:t xml:space="preserve">(residentieel en tertiair) (40 </w:t>
            </w:r>
            <w:proofErr w:type="spellStart"/>
            <w:r>
              <w:rPr>
                <w:sz w:val="20"/>
                <w:szCs w:val="20"/>
              </w:rPr>
              <w:t>lt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CAF8C5E" w14:textId="589D686D" w:rsidR="00371DE0" w:rsidRPr="002E37EB" w:rsidRDefault="00371DE0" w:rsidP="00371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</w:t>
            </w:r>
          </w:p>
        </w:tc>
      </w:tr>
    </w:tbl>
    <w:p w14:paraId="5CE6433E" w14:textId="77777777" w:rsidR="000A7458" w:rsidRDefault="000A7458">
      <w:pPr>
        <w:rPr>
          <w:lang w:val="nl-NL"/>
        </w:rPr>
      </w:pPr>
    </w:p>
    <w:p w14:paraId="01A0E498" w14:textId="433339F9" w:rsidR="00100D0E" w:rsidRPr="00536E5C" w:rsidRDefault="00C061A8" w:rsidP="00536E5C">
      <w:pPr>
        <w:spacing w:after="0" w:line="240" w:lineRule="auto"/>
        <w:rPr>
          <w:kern w:val="0"/>
          <w:sz w:val="20"/>
          <w:szCs w:val="20"/>
          <w14:ligatures w14:val="none"/>
        </w:rPr>
      </w:pPr>
      <w:r>
        <w:rPr>
          <w:kern w:val="0"/>
          <w:sz w:val="20"/>
          <w:szCs w:val="20"/>
          <w14:ligatures w14:val="none"/>
        </w:rPr>
        <w:t xml:space="preserve">NB: </w:t>
      </w:r>
      <w:r w:rsidR="00505CEF" w:rsidRPr="00536E5C">
        <w:rPr>
          <w:kern w:val="0"/>
          <w:sz w:val="20"/>
          <w:szCs w:val="20"/>
          <w14:ligatures w14:val="none"/>
        </w:rPr>
        <w:t>Alle andere modules van deze opleidingen zijn ongewijzigd</w:t>
      </w:r>
      <w:r>
        <w:rPr>
          <w:kern w:val="0"/>
          <w:sz w:val="20"/>
          <w:szCs w:val="20"/>
          <w14:ligatures w14:val="none"/>
        </w:rPr>
        <w:t xml:space="preserve"> gebleven</w:t>
      </w:r>
      <w:r w:rsidR="006D3F09" w:rsidRPr="00536E5C">
        <w:rPr>
          <w:kern w:val="0"/>
          <w:sz w:val="20"/>
          <w:szCs w:val="20"/>
          <w14:ligatures w14:val="none"/>
        </w:rPr>
        <w:t xml:space="preserve">, zowel naar benaming als naar inhoud. </w:t>
      </w:r>
      <w:r w:rsidR="00505CEF" w:rsidRPr="00536E5C">
        <w:rPr>
          <w:kern w:val="0"/>
          <w:sz w:val="20"/>
          <w:szCs w:val="20"/>
          <w14:ligatures w14:val="none"/>
        </w:rPr>
        <w:t xml:space="preserve">De behaalde deelcertificaten in de ‘oude’ opleidingen geven </w:t>
      </w:r>
      <w:r w:rsidR="006D3F09" w:rsidRPr="00536E5C">
        <w:rPr>
          <w:kern w:val="0"/>
          <w:sz w:val="20"/>
          <w:szCs w:val="20"/>
          <w14:ligatures w14:val="none"/>
        </w:rPr>
        <w:t xml:space="preserve">dan ook </w:t>
      </w:r>
      <w:r w:rsidR="00505CEF" w:rsidRPr="00536E5C">
        <w:rPr>
          <w:kern w:val="0"/>
          <w:sz w:val="20"/>
          <w:szCs w:val="20"/>
          <w14:ligatures w14:val="none"/>
        </w:rPr>
        <w:t>van rechtswege recht op vrijstelling voor de gelijknamige modules in de nieuwe opleidingen</w:t>
      </w:r>
      <w:r>
        <w:rPr>
          <w:kern w:val="0"/>
          <w:sz w:val="20"/>
          <w:szCs w:val="20"/>
          <w14:ligatures w14:val="none"/>
        </w:rPr>
        <w:t>.</w:t>
      </w:r>
    </w:p>
    <w:sectPr w:rsidR="00100D0E" w:rsidRPr="00536E5C" w:rsidSect="00287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8"/>
    <w:rsid w:val="000957E4"/>
    <w:rsid w:val="000A7458"/>
    <w:rsid w:val="000C463B"/>
    <w:rsid w:val="00100D0E"/>
    <w:rsid w:val="0014065B"/>
    <w:rsid w:val="0017314B"/>
    <w:rsid w:val="00194558"/>
    <w:rsid w:val="0024201B"/>
    <w:rsid w:val="00277A92"/>
    <w:rsid w:val="0028094F"/>
    <w:rsid w:val="00287B1E"/>
    <w:rsid w:val="00290044"/>
    <w:rsid w:val="002A7A26"/>
    <w:rsid w:val="00371DE0"/>
    <w:rsid w:val="003C3610"/>
    <w:rsid w:val="003D23E9"/>
    <w:rsid w:val="00453562"/>
    <w:rsid w:val="00454745"/>
    <w:rsid w:val="004A64B4"/>
    <w:rsid w:val="004C01BE"/>
    <w:rsid w:val="00505CEF"/>
    <w:rsid w:val="00536E5C"/>
    <w:rsid w:val="00545583"/>
    <w:rsid w:val="00547F40"/>
    <w:rsid w:val="005B16FE"/>
    <w:rsid w:val="0061450C"/>
    <w:rsid w:val="006C1064"/>
    <w:rsid w:val="006C145C"/>
    <w:rsid w:val="006D3F09"/>
    <w:rsid w:val="006F6EF0"/>
    <w:rsid w:val="00741E5F"/>
    <w:rsid w:val="00757B8F"/>
    <w:rsid w:val="00825345"/>
    <w:rsid w:val="00842F13"/>
    <w:rsid w:val="00844BD3"/>
    <w:rsid w:val="00920921"/>
    <w:rsid w:val="009342F8"/>
    <w:rsid w:val="009B5BB3"/>
    <w:rsid w:val="009D3A51"/>
    <w:rsid w:val="00B31B1F"/>
    <w:rsid w:val="00B5789A"/>
    <w:rsid w:val="00BC6CBE"/>
    <w:rsid w:val="00BF1611"/>
    <w:rsid w:val="00C061A8"/>
    <w:rsid w:val="00C47EFB"/>
    <w:rsid w:val="00CF67E5"/>
    <w:rsid w:val="00D115BF"/>
    <w:rsid w:val="00E820D9"/>
    <w:rsid w:val="00F305BF"/>
    <w:rsid w:val="00FB6387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2133"/>
  <w15:chartTrackingRefBased/>
  <w15:docId w15:val="{897E643E-C1C3-4C9B-A5FC-6EB9A2A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7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7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7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7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7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7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7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7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7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7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7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7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74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74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74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74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74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74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7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7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7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7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7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74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74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74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7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74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745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A74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F092015BE1647A3328D947BFE90CA" ma:contentTypeVersion="21" ma:contentTypeDescription="Create a new document." ma:contentTypeScope="" ma:versionID="f54dbd26df6147b263ce947e0bd5b739">
  <xsd:schema xmlns:xsd="http://www.w3.org/2001/XMLSchema" xmlns:xs="http://www.w3.org/2001/XMLSchema" xmlns:p="http://schemas.microsoft.com/office/2006/metadata/properties" xmlns:ns1="http://schemas.microsoft.com/sharepoint/v3" xmlns:ns2="36f5a01e-d092-43af-bffb-06e05f2c1dee" xmlns:ns3="7ff79971-022e-4ce9-a0eb-4dd5dd1e5cce" xmlns:ns4="9043eea9-c6a2-41bd-a216-33d45f9f09e1" targetNamespace="http://schemas.microsoft.com/office/2006/metadata/properties" ma:root="true" ma:fieldsID="6503ae983682ec1d3ae3d52d2a6a88a3" ns1:_="" ns2:_="" ns3:_="" ns4:_="">
    <xsd:import namespace="http://schemas.microsoft.com/sharepoint/v3"/>
    <xsd:import namespace="36f5a01e-d092-43af-bffb-06e05f2c1dee"/>
    <xsd:import namespace="7ff79971-022e-4ce9-a0eb-4dd5dd1e5cce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5a01e-d092-43af-bffb-06e05f2c1d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79971-022e-4ce9-a0eb-4dd5dd1e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8b4ace0-00d0-41bd-99c7-d9689be41746}" ma:internalName="TaxCatchAll" ma:showField="CatchAllData" ma:web="36f5a01e-d092-43af-bffb-06e05f2c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ff79971-022e-4ce9-a0eb-4dd5dd1e5cce">
      <Terms xmlns="http://schemas.microsoft.com/office/infopath/2007/PartnerControls"/>
    </lcf76f155ced4ddcb4097134ff3c332f>
    <_ip_UnifiedCompliancePolicyProperties xmlns="http://schemas.microsoft.com/sharepoint/v3" xsi:nil="true"/>
    <TaxCatchAll xmlns="9043eea9-c6a2-41bd-a216-33d45f9f0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AE0F9-1D31-485E-BA5F-005CA21E2D63}"/>
</file>

<file path=customXml/itemProps2.xml><?xml version="1.0" encoding="utf-8"?>
<ds:datastoreItem xmlns:ds="http://schemas.openxmlformats.org/officeDocument/2006/customXml" ds:itemID="{997708EB-DC98-48FC-9F78-5307F57A85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ff79971-022e-4ce9-a0eb-4dd5dd1e5cce"/>
    <ds:schemaRef ds:uri="9043eea9-c6a2-41bd-a216-33d45f9f09e1"/>
  </ds:schemaRefs>
</ds:datastoreItem>
</file>

<file path=customXml/itemProps3.xml><?xml version="1.0" encoding="utf-8"?>
<ds:datastoreItem xmlns:ds="http://schemas.openxmlformats.org/officeDocument/2006/customXml" ds:itemID="{7DB1FC24-E7C9-4790-9CD3-BD9A117A2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260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Ridder</dc:creator>
  <cp:keywords/>
  <dc:description/>
  <cp:lastModifiedBy>Monique De Ridder</cp:lastModifiedBy>
  <cp:revision>22</cp:revision>
  <dcterms:created xsi:type="dcterms:W3CDTF">2026-04-27T11:06:00Z</dcterms:created>
  <dcterms:modified xsi:type="dcterms:W3CDTF">2026-04-28T13:05:00Z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0x010100B06F092015BE1647A3328D947BFE90CA</vt:lpwstr>
  </property>
  <property fmtid="{D5CDD505-2E9C-101B-9397-08002B2CF9AE}" pid="3" name="MediaServiceImageTags">
    <vt:lpwstr/>
  </property>
</Properties>
</file>